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3B067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B0678">
        <w:rPr>
          <w:rFonts w:ascii="Times New Roman" w:hAnsi="Times New Roman" w:cs="Times New Roman"/>
          <w:b/>
          <w:sz w:val="24"/>
          <w:szCs w:val="24"/>
        </w:rPr>
        <w:t>09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 xml:space="preserve"> – НАВЕС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ПАРКИРАНЕ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 xml:space="preserve"> в УПИ І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>345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>, кв.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D23BFD" w:rsidRPr="00D23BFD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регулационния план на с.Крушево с ЕКАТТЕ 40141,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B0678">
        <w:rPr>
          <w:rFonts w:ascii="Times New Roman" w:eastAsia="Times New Roman" w:hAnsi="Times New Roman" w:cs="Times New Roman"/>
          <w:b/>
          <w:sz w:val="24"/>
          <w:szCs w:val="24"/>
        </w:rPr>
        <w:t>МЮМЮН ЮСЕИН АХМЕД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B7E5E-5B3B-495A-AED8-E44822E0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112</cp:revision>
  <dcterms:created xsi:type="dcterms:W3CDTF">2019-04-23T07:38:00Z</dcterms:created>
  <dcterms:modified xsi:type="dcterms:W3CDTF">2019-12-30T12:14:00Z</dcterms:modified>
</cp:coreProperties>
</file>